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EF" w:rsidRDefault="00902FEF" w:rsidP="00902FEF">
      <w:pPr>
        <w:ind w:left="284"/>
        <w:jc w:val="center"/>
        <w:rPr>
          <w:b/>
          <w:bCs/>
          <w:sz w:val="23"/>
          <w:szCs w:val="23"/>
        </w:rPr>
      </w:pPr>
      <w:r>
        <w:rPr>
          <w:b/>
          <w:bCs/>
          <w:sz w:val="23"/>
          <w:szCs w:val="23"/>
        </w:rPr>
        <w:t>Par vietu nodrošināšanu vasaras periodā Salaspils novada pirmsskolas izglītības iestādēs</w:t>
      </w:r>
    </w:p>
    <w:p w:rsidR="00F67D44" w:rsidRPr="00E216EB" w:rsidRDefault="009E56E9" w:rsidP="00F67D44">
      <w:pPr>
        <w:ind w:left="284"/>
        <w:jc w:val="both"/>
      </w:pPr>
      <w:r w:rsidRPr="00E216EB">
        <w:t>Bērnam ir piešķirta vieta konkrētā PII un</w:t>
      </w:r>
      <w:r w:rsidR="00FD03F3" w:rsidRPr="00E216EB">
        <w:t xml:space="preserve">, </w:t>
      </w:r>
      <w:r w:rsidRPr="00E216EB">
        <w:t>lai gan vasarā vienu mēnesi bērns apmeklē citu PII, bērns netiek izslēgts no sava bērnudārza. Tādēļ maksājums</w:t>
      </w:r>
      <w:r w:rsidR="00FD03F3" w:rsidRPr="00E216EB">
        <w:t xml:space="preserve"> arī par vasaras mēnesi citā PII </w:t>
      </w:r>
      <w:r w:rsidRPr="00E216EB">
        <w:t>ir uz tā paša bērnudārza kontu. Maksājumi starp iestādēm ir pašvaldības iekšējais process. Pašvaldība ir nodrošinājusi iespēju vecākiem veikt visus avansa maksājumus par ēdināšanas pakalpojumiem uz “savas” iestādes kontu, kas būtiski atvieglo apmaksas  procesu.</w:t>
      </w:r>
    </w:p>
    <w:p w:rsidR="00F67D44" w:rsidRPr="00E216EB" w:rsidRDefault="00F67D44" w:rsidP="00F67D44">
      <w:pPr>
        <w:ind w:left="284"/>
        <w:jc w:val="both"/>
      </w:pPr>
      <w:r w:rsidRPr="00E216EB">
        <w:t>Vasaras mēnešos visiem bērniem pašvaldība nodrošina vietas PII novada administratīvajā teritorijā pie šādiem nosacījumiem: vecāks ir iesniedzis iesniegumu līdz 30.aprīlim, veikts  avansa maksājums līdz iepriekšēja mēneša 25.datumam un nav parādu par iepriekšējiem mēnešiem.</w:t>
      </w:r>
    </w:p>
    <w:p w:rsidR="009E56E9" w:rsidRPr="00E216EB" w:rsidRDefault="007A3292" w:rsidP="009E56E9">
      <w:pPr>
        <w:ind w:left="284"/>
        <w:jc w:val="both"/>
      </w:pPr>
      <w:r w:rsidRPr="00E216EB">
        <w:t>V</w:t>
      </w:r>
      <w:r w:rsidR="00A4577B" w:rsidRPr="00E216EB">
        <w:t>ietu piešķiršana</w:t>
      </w:r>
      <w:r w:rsidR="009E56E9" w:rsidRPr="00E216EB">
        <w:t xml:space="preserve"> vasarā</w:t>
      </w:r>
      <w:r w:rsidR="00A4577B" w:rsidRPr="00E216EB">
        <w:t xml:space="preserve"> notiek rindas kārtībā hronoloģiskā secībā pēc pieteikuma saņemšanas datuma, ņemot vērā vakanto vietu skaitu attiecīgajā vecuma grupā pašvaldības pirmsskolas izglītības iestādēs.</w:t>
      </w:r>
      <w:r w:rsidR="00030403" w:rsidRPr="00E216EB">
        <w:t xml:space="preserve"> </w:t>
      </w:r>
    </w:p>
    <w:p w:rsidR="00CC5C23" w:rsidRPr="00E216EB" w:rsidRDefault="00CC5C23" w:rsidP="000366DE">
      <w:pPr>
        <w:ind w:left="284"/>
        <w:jc w:val="both"/>
      </w:pPr>
      <w:r w:rsidRPr="00E216EB">
        <w:t>K</w:t>
      </w:r>
      <w:r w:rsidR="00DC276C" w:rsidRPr="00E216EB">
        <w:t>atru gadu arvien vairāk vecāki izvēlas saņemt pirmsskolas izglītības pakalpojumu vasarā</w:t>
      </w:r>
      <w:r w:rsidR="007A3292" w:rsidRPr="00E216EB">
        <w:t xml:space="preserve">, </w:t>
      </w:r>
      <w:r w:rsidR="00FD03F3" w:rsidRPr="00E216EB">
        <w:t>bet k</w:t>
      </w:r>
      <w:r w:rsidR="009E56E9" w:rsidRPr="00E216EB">
        <w:t xml:space="preserve">atrai </w:t>
      </w:r>
      <w:r w:rsidR="00FD03F3" w:rsidRPr="00E216EB">
        <w:t>iestādei</w:t>
      </w:r>
      <w:r w:rsidR="009E56E9" w:rsidRPr="00E216EB">
        <w:t xml:space="preserve"> atbilstoši sanitāri </w:t>
      </w:r>
      <w:r w:rsidR="00FD03F3" w:rsidRPr="00E216EB">
        <w:t>higiēniskajam</w:t>
      </w:r>
      <w:r w:rsidR="009E56E9" w:rsidRPr="00E216EB">
        <w:t xml:space="preserve"> normām, atbilstoši gultiņu skaitam ir savs maksimālais uzņemamo bērnu skaits.</w:t>
      </w:r>
      <w:r w:rsidR="000366DE" w:rsidRPr="00E216EB">
        <w:t xml:space="preserve"> </w:t>
      </w:r>
    </w:p>
    <w:p w:rsidR="00CC5C23" w:rsidRPr="00E216EB" w:rsidRDefault="000366DE" w:rsidP="000366DE">
      <w:pPr>
        <w:ind w:left="284"/>
        <w:jc w:val="both"/>
      </w:pPr>
      <w:r w:rsidRPr="00E216EB">
        <w:t xml:space="preserve">Tajā mēnesī, kad PII ir slēgts, atvaļinājumā dodas visi atbalsta funkciju darbinieki – pavāri, aukles, veļas mazgātājas u.c. Savukārt </w:t>
      </w:r>
      <w:r w:rsidR="00FD03F3" w:rsidRPr="00E216EB">
        <w:t xml:space="preserve">pedagogiem valsts ar likumu ir noteikusi 2 mēnešu atvaļinājumu, </w:t>
      </w:r>
      <w:r w:rsidRPr="00E216EB">
        <w:t>vienu mēnesi pedagogs dodas atvaļinājumā, kad PII ir slēgts, bet otru mēnesi pedagogs ir atvaļinājumā, kad PII ir atvērts un strādā. R</w:t>
      </w:r>
      <w:r w:rsidR="00FD03F3" w:rsidRPr="00E216EB">
        <w:t>ezultātā slēdzot 2  bērnudārzus</w:t>
      </w:r>
      <w:r w:rsidRPr="00E216EB">
        <w:t>,</w:t>
      </w:r>
      <w:r w:rsidR="00FD03F3" w:rsidRPr="00E216EB">
        <w:t xml:space="preserve"> pārējos četros bērnudārzos strādā mazāks pedagogu skaits kā ziemā. </w:t>
      </w:r>
    </w:p>
    <w:p w:rsidR="007A3292" w:rsidRPr="00E216EB" w:rsidRDefault="00103A65" w:rsidP="000366DE">
      <w:pPr>
        <w:ind w:left="284"/>
        <w:jc w:val="both"/>
      </w:pPr>
      <w:r w:rsidRPr="00E216EB">
        <w:t>Šogad jūnijā</w:t>
      </w:r>
      <w:r w:rsidR="009E56E9" w:rsidRPr="00E216EB">
        <w:t xml:space="preserve"> tiek slēgti divi </w:t>
      </w:r>
      <w:r w:rsidR="00FD03F3" w:rsidRPr="00E216EB">
        <w:t>bērnudārzi</w:t>
      </w:r>
      <w:r w:rsidR="009E56E9" w:rsidRPr="00E216EB">
        <w:t xml:space="preserve"> </w:t>
      </w:r>
      <w:r w:rsidR="00F16A8F" w:rsidRPr="00E216EB">
        <w:t xml:space="preserve">PII </w:t>
      </w:r>
      <w:r w:rsidR="009E56E9" w:rsidRPr="00E216EB">
        <w:t xml:space="preserve">“Saulīte un </w:t>
      </w:r>
      <w:r w:rsidR="00F16A8F" w:rsidRPr="00E216EB">
        <w:t xml:space="preserve">PII </w:t>
      </w:r>
      <w:r w:rsidR="009E56E9" w:rsidRPr="00E216EB">
        <w:t>“Saime”, kopā šos divus bērnudārzus apmeklē 3</w:t>
      </w:r>
      <w:r w:rsidR="00FD03F3" w:rsidRPr="00E216EB">
        <w:t>85</w:t>
      </w:r>
      <w:r w:rsidR="009E56E9" w:rsidRPr="00E216EB">
        <w:t xml:space="preserve"> bērni</w:t>
      </w:r>
      <w:r w:rsidR="00CC5C23" w:rsidRPr="00E216EB">
        <w:t xml:space="preserve"> (246+</w:t>
      </w:r>
      <w:r w:rsidR="00FD03F3" w:rsidRPr="00E216EB">
        <w:t>139)</w:t>
      </w:r>
      <w:r w:rsidR="009E56E9" w:rsidRPr="00E216EB">
        <w:t>.</w:t>
      </w:r>
      <w:r w:rsidR="00902FEF">
        <w:t xml:space="preserve"> </w:t>
      </w:r>
      <w:r w:rsidR="009E56E9" w:rsidRPr="00E216EB">
        <w:t>No šiem 3</w:t>
      </w:r>
      <w:r w:rsidR="00FD03F3" w:rsidRPr="00E216EB">
        <w:t>85</w:t>
      </w:r>
      <w:r w:rsidR="009E56E9" w:rsidRPr="00E216EB">
        <w:t xml:space="preserve"> bērnu vecākiem saņemti 170 iesniegumi ar vēl</w:t>
      </w:r>
      <w:r w:rsidR="00FD03F3" w:rsidRPr="00E216EB">
        <w:t>m</w:t>
      </w:r>
      <w:r w:rsidR="009E56E9" w:rsidRPr="00E216EB">
        <w:t xml:space="preserve">i apmeklēt citu bērnudārzu tajā mēnesī, kad viņu bērnudārzs ir slēgts. </w:t>
      </w:r>
      <w:r w:rsidR="00F67D44" w:rsidRPr="00E216EB">
        <w:t>Savukārt PII “Atvasīte” notiek viena korpusa remonts, tādēļ iestāde šogad nevarēs uzņemt citus bērnus. K</w:t>
      </w:r>
      <w:r w:rsidR="00F16A8F" w:rsidRPr="00E216EB">
        <w:t xml:space="preserve">atrs bērnudārzs </w:t>
      </w:r>
      <w:r w:rsidR="00F67D44" w:rsidRPr="00E216EB">
        <w:t xml:space="preserve">jūnijā </w:t>
      </w:r>
      <w:r w:rsidR="00F16A8F" w:rsidRPr="00E216EB">
        <w:t xml:space="preserve">uzņem papildu </w:t>
      </w:r>
      <w:r w:rsidR="00F67D44" w:rsidRPr="00E216EB">
        <w:t>40-6</w:t>
      </w:r>
      <w:r w:rsidR="00F16A8F" w:rsidRPr="00E216EB">
        <w:t xml:space="preserve">0 bērnus. </w:t>
      </w:r>
      <w:r w:rsidR="009E56E9" w:rsidRPr="00E216EB">
        <w:t>Rezultātā p</w:t>
      </w:r>
      <w:r w:rsidR="00FD03F3" w:rsidRPr="00E216EB">
        <w:t>ā</w:t>
      </w:r>
      <w:r w:rsidR="009E56E9" w:rsidRPr="00E216EB">
        <w:t xml:space="preserve">rējie </w:t>
      </w:r>
      <w:r w:rsidR="00F67D44" w:rsidRPr="00E216EB">
        <w:t>trīs</w:t>
      </w:r>
      <w:r w:rsidR="00FD03F3" w:rsidRPr="00E216EB">
        <w:t xml:space="preserve"> </w:t>
      </w:r>
      <w:r w:rsidR="009E56E9" w:rsidRPr="00E216EB">
        <w:t>bērnudārzi ir</w:t>
      </w:r>
      <w:r w:rsidR="00FD03F3" w:rsidRPr="00E216EB">
        <w:t xml:space="preserve"> pilnībā noslogoti: j</w:t>
      </w:r>
      <w:r w:rsidR="009E56E9" w:rsidRPr="00E216EB">
        <w:t xml:space="preserve">ūnijā </w:t>
      </w:r>
      <w:r w:rsidRPr="00E216EB">
        <w:t>PII “Jāņtārpiņš”</w:t>
      </w:r>
      <w:r w:rsidR="0088082D" w:rsidRPr="00E216EB">
        <w:t xml:space="preserve"> uzņem </w:t>
      </w:r>
      <w:r w:rsidR="009D7F62" w:rsidRPr="00E216EB">
        <w:t>260 bērnus, PII “Ritenītis” – 257</w:t>
      </w:r>
      <w:r w:rsidR="0039438A" w:rsidRPr="00E216EB">
        <w:rPr>
          <w:color w:val="FF0000"/>
        </w:rPr>
        <w:t xml:space="preserve"> </w:t>
      </w:r>
      <w:r w:rsidRPr="00E216EB">
        <w:rPr>
          <w:color w:val="FF0000"/>
        </w:rPr>
        <w:t xml:space="preserve"> </w:t>
      </w:r>
      <w:r w:rsidR="009D7F62" w:rsidRPr="00E216EB">
        <w:t>un PII “Daugaviņa” – 147</w:t>
      </w:r>
      <w:r w:rsidRPr="00E216EB">
        <w:t xml:space="preserve">.  </w:t>
      </w:r>
      <w:r w:rsidR="00F16A8F" w:rsidRPr="00E216EB">
        <w:t>Daudzu vecāku iesniegumi par v</w:t>
      </w:r>
      <w:r w:rsidR="0039438A" w:rsidRPr="00E216EB">
        <w:t>ēlmi apmeklēt bērnudārzu vasarā</w:t>
      </w:r>
      <w:r w:rsidR="00FD03F3" w:rsidRPr="00E216EB">
        <w:t xml:space="preserve"> </w:t>
      </w:r>
      <w:r w:rsidR="00C3481E" w:rsidRPr="00E216EB">
        <w:t>radījusi nepieciešamību</w:t>
      </w:r>
      <w:r w:rsidR="00FD03F3" w:rsidRPr="00E216EB">
        <w:t xml:space="preserve"> </w:t>
      </w:r>
      <w:r w:rsidR="00F16A8F" w:rsidRPr="00E216EB">
        <w:t xml:space="preserve">papildu vietas bērniem vasarā </w:t>
      </w:r>
      <w:r w:rsidR="00FD03F3" w:rsidRPr="00E216EB">
        <w:t xml:space="preserve">šogad piešķirt arī PII </w:t>
      </w:r>
      <w:r w:rsidR="00F32C50">
        <w:t>“</w:t>
      </w:r>
      <w:r w:rsidR="00FD03F3" w:rsidRPr="00E216EB">
        <w:t>Daugaviņa</w:t>
      </w:r>
      <w:r w:rsidR="00F32C50">
        <w:t>”</w:t>
      </w:r>
      <w:r w:rsidR="00FD03F3" w:rsidRPr="00E216EB">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127"/>
        <w:gridCol w:w="2126"/>
        <w:gridCol w:w="2410"/>
      </w:tblGrid>
      <w:tr w:rsidR="00F32C50" w:rsidTr="00F32C50">
        <w:tc>
          <w:tcPr>
            <w:tcW w:w="2092" w:type="dxa"/>
            <w:shd w:val="clear" w:color="auto" w:fill="auto"/>
          </w:tcPr>
          <w:p w:rsidR="000366DE" w:rsidRPr="00F32C50" w:rsidRDefault="000366DE" w:rsidP="00F32C50">
            <w:pPr>
              <w:jc w:val="both"/>
              <w:rPr>
                <w:b/>
              </w:rPr>
            </w:pPr>
            <w:r w:rsidRPr="00F32C50">
              <w:rPr>
                <w:b/>
              </w:rPr>
              <w:t>Iestāde</w:t>
            </w:r>
          </w:p>
        </w:tc>
        <w:tc>
          <w:tcPr>
            <w:tcW w:w="2127" w:type="dxa"/>
            <w:shd w:val="clear" w:color="auto" w:fill="auto"/>
          </w:tcPr>
          <w:p w:rsidR="000366DE" w:rsidRPr="00F32C50" w:rsidRDefault="000366DE" w:rsidP="00F32C50">
            <w:pPr>
              <w:jc w:val="center"/>
              <w:rPr>
                <w:b/>
              </w:rPr>
            </w:pPr>
            <w:r w:rsidRPr="00F32C50">
              <w:rPr>
                <w:b/>
              </w:rPr>
              <w:t>Paša PII jūnijā pieteikto  bērnu skaits</w:t>
            </w:r>
          </w:p>
        </w:tc>
        <w:tc>
          <w:tcPr>
            <w:tcW w:w="2126" w:type="dxa"/>
            <w:shd w:val="clear" w:color="auto" w:fill="auto"/>
          </w:tcPr>
          <w:p w:rsidR="000366DE" w:rsidRPr="00F32C50" w:rsidRDefault="000366DE" w:rsidP="00F32C50">
            <w:pPr>
              <w:jc w:val="center"/>
              <w:rPr>
                <w:b/>
              </w:rPr>
            </w:pPr>
            <w:r w:rsidRPr="00F32C50">
              <w:rPr>
                <w:b/>
              </w:rPr>
              <w:t>Papildu vietas slēgto PII bērniem</w:t>
            </w:r>
          </w:p>
        </w:tc>
        <w:tc>
          <w:tcPr>
            <w:tcW w:w="2410" w:type="dxa"/>
            <w:shd w:val="clear" w:color="auto" w:fill="auto"/>
          </w:tcPr>
          <w:p w:rsidR="000366DE" w:rsidRPr="00F32C50" w:rsidRDefault="000366DE" w:rsidP="00F32C50">
            <w:pPr>
              <w:jc w:val="center"/>
              <w:rPr>
                <w:b/>
              </w:rPr>
            </w:pPr>
            <w:r w:rsidRPr="00F32C50">
              <w:rPr>
                <w:b/>
              </w:rPr>
              <w:t>Bērnu skaits, kas  apmeklēs PII jūnijā, KOPĀ</w:t>
            </w:r>
          </w:p>
        </w:tc>
      </w:tr>
      <w:tr w:rsidR="00F32C50" w:rsidTr="00F32C50">
        <w:tc>
          <w:tcPr>
            <w:tcW w:w="2092" w:type="dxa"/>
            <w:shd w:val="clear" w:color="auto" w:fill="auto"/>
          </w:tcPr>
          <w:p w:rsidR="000366DE" w:rsidRPr="00F32C50" w:rsidRDefault="000366DE" w:rsidP="00F32C50">
            <w:pPr>
              <w:jc w:val="right"/>
              <w:rPr>
                <w:b/>
              </w:rPr>
            </w:pPr>
            <w:r w:rsidRPr="00F32C50">
              <w:rPr>
                <w:b/>
              </w:rPr>
              <w:t>Jāņtārpiņš</w:t>
            </w:r>
          </w:p>
        </w:tc>
        <w:tc>
          <w:tcPr>
            <w:tcW w:w="2127" w:type="dxa"/>
            <w:shd w:val="clear" w:color="auto" w:fill="auto"/>
          </w:tcPr>
          <w:p w:rsidR="000366DE" w:rsidRPr="00F32C50" w:rsidRDefault="000366DE" w:rsidP="00F32C50">
            <w:pPr>
              <w:jc w:val="center"/>
              <w:rPr>
                <w:b/>
              </w:rPr>
            </w:pPr>
            <w:r w:rsidRPr="00F32C50">
              <w:rPr>
                <w:b/>
              </w:rPr>
              <w:t>193</w:t>
            </w:r>
          </w:p>
        </w:tc>
        <w:tc>
          <w:tcPr>
            <w:tcW w:w="2126" w:type="dxa"/>
            <w:shd w:val="clear" w:color="auto" w:fill="auto"/>
          </w:tcPr>
          <w:p w:rsidR="000366DE" w:rsidRPr="00F32C50" w:rsidRDefault="0039438A" w:rsidP="00F32C50">
            <w:pPr>
              <w:jc w:val="center"/>
              <w:rPr>
                <w:b/>
              </w:rPr>
            </w:pPr>
            <w:r w:rsidRPr="00F32C50">
              <w:rPr>
                <w:b/>
              </w:rPr>
              <w:t>67</w:t>
            </w:r>
          </w:p>
        </w:tc>
        <w:tc>
          <w:tcPr>
            <w:tcW w:w="2410" w:type="dxa"/>
            <w:shd w:val="clear" w:color="auto" w:fill="auto"/>
          </w:tcPr>
          <w:p w:rsidR="000366DE" w:rsidRPr="00F32C50" w:rsidRDefault="00F67D44" w:rsidP="00F32C50">
            <w:pPr>
              <w:jc w:val="center"/>
              <w:rPr>
                <w:b/>
              </w:rPr>
            </w:pPr>
            <w:r w:rsidRPr="00F32C50">
              <w:rPr>
                <w:b/>
              </w:rPr>
              <w:t>260</w:t>
            </w:r>
          </w:p>
        </w:tc>
      </w:tr>
      <w:tr w:rsidR="00F32C50" w:rsidTr="00F32C50">
        <w:tc>
          <w:tcPr>
            <w:tcW w:w="2092" w:type="dxa"/>
            <w:shd w:val="clear" w:color="auto" w:fill="auto"/>
          </w:tcPr>
          <w:p w:rsidR="000366DE" w:rsidRPr="00F32C50" w:rsidRDefault="000366DE" w:rsidP="00F32C50">
            <w:pPr>
              <w:jc w:val="right"/>
              <w:rPr>
                <w:b/>
              </w:rPr>
            </w:pPr>
            <w:r w:rsidRPr="00F32C50">
              <w:rPr>
                <w:b/>
              </w:rPr>
              <w:t>Ritenītis</w:t>
            </w:r>
          </w:p>
        </w:tc>
        <w:tc>
          <w:tcPr>
            <w:tcW w:w="2127" w:type="dxa"/>
            <w:shd w:val="clear" w:color="auto" w:fill="auto"/>
          </w:tcPr>
          <w:p w:rsidR="000366DE" w:rsidRPr="00F32C50" w:rsidRDefault="000366DE" w:rsidP="00F32C50">
            <w:pPr>
              <w:jc w:val="center"/>
              <w:rPr>
                <w:b/>
              </w:rPr>
            </w:pPr>
            <w:r w:rsidRPr="00F32C50">
              <w:rPr>
                <w:b/>
              </w:rPr>
              <w:t>195</w:t>
            </w:r>
          </w:p>
        </w:tc>
        <w:tc>
          <w:tcPr>
            <w:tcW w:w="2126" w:type="dxa"/>
            <w:shd w:val="clear" w:color="auto" w:fill="auto"/>
          </w:tcPr>
          <w:p w:rsidR="000366DE" w:rsidRPr="00F32C50" w:rsidRDefault="0039438A" w:rsidP="00F32C50">
            <w:pPr>
              <w:jc w:val="center"/>
              <w:rPr>
                <w:b/>
              </w:rPr>
            </w:pPr>
            <w:r w:rsidRPr="00F32C50">
              <w:rPr>
                <w:b/>
              </w:rPr>
              <w:t>62</w:t>
            </w:r>
          </w:p>
        </w:tc>
        <w:tc>
          <w:tcPr>
            <w:tcW w:w="2410" w:type="dxa"/>
            <w:shd w:val="clear" w:color="auto" w:fill="auto"/>
          </w:tcPr>
          <w:p w:rsidR="000366DE" w:rsidRPr="00F32C50" w:rsidRDefault="00F67D44" w:rsidP="00F32C50">
            <w:pPr>
              <w:jc w:val="center"/>
              <w:rPr>
                <w:b/>
              </w:rPr>
            </w:pPr>
            <w:r w:rsidRPr="00F32C50">
              <w:rPr>
                <w:b/>
              </w:rPr>
              <w:t>257</w:t>
            </w:r>
          </w:p>
        </w:tc>
      </w:tr>
      <w:tr w:rsidR="00F32C50" w:rsidTr="00F32C50">
        <w:tc>
          <w:tcPr>
            <w:tcW w:w="2092" w:type="dxa"/>
            <w:shd w:val="clear" w:color="auto" w:fill="auto"/>
          </w:tcPr>
          <w:p w:rsidR="00F67D44" w:rsidRPr="00F32C50" w:rsidRDefault="00F67D44" w:rsidP="00F32C50">
            <w:pPr>
              <w:jc w:val="right"/>
              <w:rPr>
                <w:b/>
              </w:rPr>
            </w:pPr>
            <w:r w:rsidRPr="00F32C50">
              <w:rPr>
                <w:b/>
              </w:rPr>
              <w:t>Daugaviņa</w:t>
            </w:r>
          </w:p>
        </w:tc>
        <w:tc>
          <w:tcPr>
            <w:tcW w:w="2127" w:type="dxa"/>
            <w:shd w:val="clear" w:color="auto" w:fill="auto"/>
          </w:tcPr>
          <w:p w:rsidR="00F67D44" w:rsidRPr="00F32C50" w:rsidRDefault="00F67D44" w:rsidP="00F32C50">
            <w:pPr>
              <w:jc w:val="center"/>
              <w:rPr>
                <w:b/>
              </w:rPr>
            </w:pPr>
            <w:r w:rsidRPr="00F32C50">
              <w:rPr>
                <w:b/>
              </w:rPr>
              <w:t>106</w:t>
            </w:r>
          </w:p>
        </w:tc>
        <w:tc>
          <w:tcPr>
            <w:tcW w:w="2126" w:type="dxa"/>
            <w:shd w:val="clear" w:color="auto" w:fill="auto"/>
          </w:tcPr>
          <w:p w:rsidR="00F67D44" w:rsidRPr="00F32C50" w:rsidRDefault="00F67D44" w:rsidP="00F32C50">
            <w:pPr>
              <w:jc w:val="center"/>
              <w:rPr>
                <w:b/>
              </w:rPr>
            </w:pPr>
            <w:r w:rsidRPr="00F32C50">
              <w:rPr>
                <w:b/>
              </w:rPr>
              <w:t>41</w:t>
            </w:r>
          </w:p>
        </w:tc>
        <w:tc>
          <w:tcPr>
            <w:tcW w:w="2410" w:type="dxa"/>
            <w:shd w:val="clear" w:color="auto" w:fill="auto"/>
          </w:tcPr>
          <w:p w:rsidR="00F67D44" w:rsidRPr="00F32C50" w:rsidRDefault="00F67D44" w:rsidP="00F32C50">
            <w:pPr>
              <w:jc w:val="center"/>
              <w:rPr>
                <w:b/>
              </w:rPr>
            </w:pPr>
            <w:r w:rsidRPr="00F32C50">
              <w:rPr>
                <w:b/>
              </w:rPr>
              <w:t>147</w:t>
            </w:r>
          </w:p>
        </w:tc>
      </w:tr>
      <w:tr w:rsidR="00F32C50" w:rsidTr="00F32C50">
        <w:tc>
          <w:tcPr>
            <w:tcW w:w="2092" w:type="dxa"/>
            <w:shd w:val="clear" w:color="auto" w:fill="auto"/>
          </w:tcPr>
          <w:p w:rsidR="000366DE" w:rsidRPr="00F32C50" w:rsidRDefault="000366DE" w:rsidP="00F32C50">
            <w:pPr>
              <w:jc w:val="right"/>
              <w:rPr>
                <w:b/>
              </w:rPr>
            </w:pPr>
            <w:r w:rsidRPr="00F32C50">
              <w:rPr>
                <w:b/>
              </w:rPr>
              <w:t>Atvasīte</w:t>
            </w:r>
            <w:r w:rsidR="0039438A" w:rsidRPr="00F32C50">
              <w:rPr>
                <w:b/>
              </w:rPr>
              <w:t>*</w:t>
            </w:r>
          </w:p>
        </w:tc>
        <w:tc>
          <w:tcPr>
            <w:tcW w:w="2127" w:type="dxa"/>
            <w:shd w:val="clear" w:color="auto" w:fill="auto"/>
          </w:tcPr>
          <w:p w:rsidR="000366DE" w:rsidRPr="00F32C50" w:rsidRDefault="000366DE" w:rsidP="00F32C50">
            <w:pPr>
              <w:jc w:val="center"/>
              <w:rPr>
                <w:b/>
              </w:rPr>
            </w:pPr>
            <w:r w:rsidRPr="00F32C50">
              <w:rPr>
                <w:b/>
              </w:rPr>
              <w:t>113</w:t>
            </w:r>
          </w:p>
        </w:tc>
        <w:tc>
          <w:tcPr>
            <w:tcW w:w="2126" w:type="dxa"/>
            <w:shd w:val="clear" w:color="auto" w:fill="auto"/>
          </w:tcPr>
          <w:p w:rsidR="000366DE" w:rsidRPr="00F32C50" w:rsidRDefault="0039438A" w:rsidP="00F32C50">
            <w:pPr>
              <w:jc w:val="center"/>
              <w:rPr>
                <w:b/>
                <w:color w:val="auto"/>
              </w:rPr>
            </w:pPr>
            <w:r w:rsidRPr="00F32C50">
              <w:rPr>
                <w:b/>
                <w:color w:val="auto"/>
              </w:rPr>
              <w:t>0</w:t>
            </w:r>
          </w:p>
        </w:tc>
        <w:tc>
          <w:tcPr>
            <w:tcW w:w="2410" w:type="dxa"/>
            <w:shd w:val="clear" w:color="auto" w:fill="auto"/>
          </w:tcPr>
          <w:p w:rsidR="000366DE" w:rsidRPr="00F32C50" w:rsidRDefault="00C3481E" w:rsidP="00F32C50">
            <w:pPr>
              <w:jc w:val="center"/>
              <w:rPr>
                <w:b/>
                <w:color w:val="auto"/>
              </w:rPr>
            </w:pPr>
            <w:r w:rsidRPr="00F32C50">
              <w:rPr>
                <w:b/>
                <w:color w:val="auto"/>
              </w:rPr>
              <w:t>1</w:t>
            </w:r>
            <w:r w:rsidR="0039438A" w:rsidRPr="00F32C50">
              <w:rPr>
                <w:b/>
                <w:color w:val="auto"/>
              </w:rPr>
              <w:t>1</w:t>
            </w:r>
            <w:r w:rsidRPr="00F32C50">
              <w:rPr>
                <w:b/>
                <w:color w:val="auto"/>
              </w:rPr>
              <w:t>3</w:t>
            </w:r>
          </w:p>
        </w:tc>
      </w:tr>
      <w:tr w:rsidR="00F32C50" w:rsidTr="00F32C50">
        <w:tc>
          <w:tcPr>
            <w:tcW w:w="2092" w:type="dxa"/>
            <w:shd w:val="clear" w:color="auto" w:fill="auto"/>
          </w:tcPr>
          <w:p w:rsidR="0039438A" w:rsidRPr="00F32C50" w:rsidRDefault="00F67D44" w:rsidP="00F32C50">
            <w:pPr>
              <w:jc w:val="right"/>
              <w:rPr>
                <w:b/>
                <w:sz w:val="20"/>
                <w:szCs w:val="20"/>
              </w:rPr>
            </w:pPr>
            <w:r w:rsidRPr="00F32C50">
              <w:rPr>
                <w:b/>
                <w:sz w:val="20"/>
                <w:szCs w:val="20"/>
              </w:rPr>
              <w:t>Kopā papildus vietas</w:t>
            </w:r>
          </w:p>
        </w:tc>
        <w:tc>
          <w:tcPr>
            <w:tcW w:w="2127" w:type="dxa"/>
            <w:shd w:val="clear" w:color="auto" w:fill="auto"/>
          </w:tcPr>
          <w:p w:rsidR="0039438A" w:rsidRPr="00F32C50" w:rsidRDefault="0039438A" w:rsidP="00F32C50">
            <w:pPr>
              <w:jc w:val="center"/>
              <w:rPr>
                <w:b/>
              </w:rPr>
            </w:pPr>
          </w:p>
        </w:tc>
        <w:tc>
          <w:tcPr>
            <w:tcW w:w="2126" w:type="dxa"/>
            <w:shd w:val="clear" w:color="auto" w:fill="auto"/>
          </w:tcPr>
          <w:p w:rsidR="0039438A" w:rsidRPr="00F32C50" w:rsidRDefault="0039438A" w:rsidP="00F32C50">
            <w:pPr>
              <w:jc w:val="center"/>
              <w:rPr>
                <w:b/>
              </w:rPr>
            </w:pPr>
            <w:r w:rsidRPr="00F32C50">
              <w:rPr>
                <w:b/>
              </w:rPr>
              <w:t>170</w:t>
            </w:r>
          </w:p>
        </w:tc>
        <w:tc>
          <w:tcPr>
            <w:tcW w:w="2410" w:type="dxa"/>
            <w:shd w:val="clear" w:color="auto" w:fill="auto"/>
          </w:tcPr>
          <w:p w:rsidR="0039438A" w:rsidRPr="00F32C50" w:rsidRDefault="0039438A" w:rsidP="00F32C50">
            <w:pPr>
              <w:jc w:val="center"/>
              <w:rPr>
                <w:b/>
              </w:rPr>
            </w:pPr>
          </w:p>
        </w:tc>
      </w:tr>
    </w:tbl>
    <w:p w:rsidR="000366DE" w:rsidRPr="00FC4DD9" w:rsidRDefault="00E216EB" w:rsidP="00FC4DD9">
      <w:pPr>
        <w:ind w:left="1004"/>
        <w:jc w:val="both"/>
        <w:rPr>
          <w:i/>
        </w:rPr>
      </w:pPr>
      <w:r>
        <w:rPr>
          <w:i/>
        </w:rPr>
        <w:t xml:space="preserve"> </w:t>
      </w:r>
      <w:r w:rsidR="00FC4DD9" w:rsidRPr="00FC4DD9">
        <w:rPr>
          <w:i/>
        </w:rPr>
        <w:t>*</w:t>
      </w:r>
      <w:r w:rsidR="0039438A" w:rsidRPr="00FC4DD9">
        <w:rPr>
          <w:i/>
        </w:rPr>
        <w:t>Notiek viena korpusa remonts</w:t>
      </w:r>
    </w:p>
    <w:p w:rsidR="00F67D44" w:rsidRDefault="0088082D" w:rsidP="00F67D44">
      <w:pPr>
        <w:ind w:left="426"/>
        <w:jc w:val="both"/>
      </w:pPr>
      <w:r w:rsidRPr="00E216EB">
        <w:t xml:space="preserve">Informācija par vietu sadali </w:t>
      </w:r>
      <w:r w:rsidR="009237E2" w:rsidRPr="00E216EB">
        <w:t xml:space="preserve">un </w:t>
      </w:r>
      <w:r w:rsidR="009E56E9" w:rsidRPr="00E216EB">
        <w:t xml:space="preserve">apmeklējuma </w:t>
      </w:r>
      <w:r w:rsidR="009237E2" w:rsidRPr="00E216EB">
        <w:t>dienu skaitu</w:t>
      </w:r>
      <w:r w:rsidR="009E56E9" w:rsidRPr="00E216EB">
        <w:t xml:space="preserve"> katram bērnam </w:t>
      </w:r>
      <w:r w:rsidRPr="00E216EB">
        <w:t>jūnija mēnesim tika sagatavota līdz 7.maijam</w:t>
      </w:r>
      <w:r w:rsidR="009237E2" w:rsidRPr="00E216EB">
        <w:t xml:space="preserve"> un tajā pašā dienā saraksti nodoti grāmatvedībai,</w:t>
      </w:r>
      <w:r w:rsidR="009E56E9" w:rsidRPr="00E216EB">
        <w:t xml:space="preserve"> lai sagatavotu rēķinus</w:t>
      </w:r>
      <w:r w:rsidR="009237E2" w:rsidRPr="00E216EB">
        <w:t>. Vecāki var mainīt norādīto dienu skaitu vai atteikties no pirmskolas izglītības pakalpojuma attiecīgā vasaras mēnesī līd</w:t>
      </w:r>
      <w:r w:rsidR="00F67D44" w:rsidRPr="00E216EB">
        <w:t xml:space="preserve">z iepriekšējā mēneša 10.datumam. </w:t>
      </w:r>
      <w:r w:rsidR="00FD03F3" w:rsidRPr="00E216EB">
        <w:t xml:space="preserve">Divu darba  dienu laikā - </w:t>
      </w:r>
      <w:r w:rsidR="009237E2" w:rsidRPr="00E216EB">
        <w:t xml:space="preserve">10. un 13.maijā </w:t>
      </w:r>
      <w:r w:rsidR="009E56E9" w:rsidRPr="00E216EB">
        <w:t xml:space="preserve">tika apkopota </w:t>
      </w:r>
      <w:r w:rsidR="009237E2" w:rsidRPr="00E216EB">
        <w:t xml:space="preserve">informācija par </w:t>
      </w:r>
      <w:r w:rsidR="009E56E9" w:rsidRPr="00E216EB">
        <w:t xml:space="preserve">apmeklējuma </w:t>
      </w:r>
      <w:r w:rsidR="009237E2" w:rsidRPr="00E216EB">
        <w:t>dienu skaitu</w:t>
      </w:r>
      <w:r w:rsidR="009E56E9" w:rsidRPr="00E216EB">
        <w:t xml:space="preserve"> izmaiņām, ko bija iesnieguši vecāki</w:t>
      </w:r>
      <w:r w:rsidR="00FD03F3" w:rsidRPr="00E216EB">
        <w:t>,</w:t>
      </w:r>
      <w:r w:rsidR="009E56E9" w:rsidRPr="00E216EB">
        <w:t xml:space="preserve"> </w:t>
      </w:r>
      <w:r w:rsidR="009237E2" w:rsidRPr="00E216EB">
        <w:t xml:space="preserve">un sagatavoti norīkojumi PII “Saime” un </w:t>
      </w:r>
      <w:r w:rsidR="00FD03F3" w:rsidRPr="00E216EB">
        <w:t xml:space="preserve">PII “Saulīte” vecākiem attiecīgi </w:t>
      </w:r>
      <w:r w:rsidR="00C7687E" w:rsidRPr="00E216EB">
        <w:t xml:space="preserve"> 13. un 14.maijā</w:t>
      </w:r>
      <w:r w:rsidR="00CC5C23" w:rsidRPr="00E216EB">
        <w:t>.</w:t>
      </w:r>
    </w:p>
    <w:p w:rsidR="00D637AD" w:rsidRDefault="00D637AD" w:rsidP="00F67D44">
      <w:pPr>
        <w:ind w:left="426"/>
        <w:jc w:val="both"/>
      </w:pPr>
    </w:p>
    <w:p w:rsidR="00CC5C23" w:rsidRPr="00E216EB" w:rsidRDefault="00CC5C23" w:rsidP="00F67D44">
      <w:pPr>
        <w:ind w:left="426"/>
        <w:jc w:val="both"/>
      </w:pPr>
      <w:r w:rsidRPr="00E216EB">
        <w:t>Pašvaldības Administrācijas darbinieki, grāmatveži un PII lietveži iegulda lielu darbu, lai iepriekšminēto informāciju apstrādātu - pārbaudītu, aktualizētu un la</w:t>
      </w:r>
      <w:r w:rsidR="00F67D44" w:rsidRPr="00E216EB">
        <w:t xml:space="preserve">i šis pakalpojums papildu vieta </w:t>
      </w:r>
      <w:r w:rsidRPr="00E216EB">
        <w:t>vasaras periodā tiktu vecākiem nod</w:t>
      </w:r>
      <w:r w:rsidR="00F67D44" w:rsidRPr="00E216EB">
        <w:t>rošināts. Tādēļ ir ļoti svarīgi saprast, ka arī vecākiem ir pienākums sniegt</w:t>
      </w:r>
      <w:r w:rsidRPr="00E216EB">
        <w:t xml:space="preserve"> informāciju iespējami agrāk un </w:t>
      </w:r>
      <w:r w:rsidR="00FF4425" w:rsidRPr="00E216EB">
        <w:t xml:space="preserve">lai tā būtu precīza, </w:t>
      </w:r>
      <w:r w:rsidR="004556B7" w:rsidRPr="00E216EB">
        <w:t>kā arī savlaicīgi veikt</w:t>
      </w:r>
      <w:r w:rsidRPr="00E216EB">
        <w:t xml:space="preserve"> maksājumus.</w:t>
      </w:r>
      <w:r w:rsidR="00F67D44" w:rsidRPr="00E216EB">
        <w:t xml:space="preserve"> </w:t>
      </w:r>
      <w:r w:rsidR="00ED1BCE">
        <w:t>V</w:t>
      </w:r>
      <w:r w:rsidR="00F67D44" w:rsidRPr="00E216EB">
        <w:t>ecākiem jābūt saprotošiem un atbildīgiem, piesakot liekas apmeklējuma dienas</w:t>
      </w:r>
      <w:r w:rsidR="00ED1BCE">
        <w:t xml:space="preserve">, </w:t>
      </w:r>
      <w:r w:rsidR="00F67D44" w:rsidRPr="00E216EB">
        <w:t xml:space="preserve">kuras visticamāk netiks izmantotas, </w:t>
      </w:r>
      <w:r w:rsidR="00ED1BCE">
        <w:t xml:space="preserve">tas rada liekus sarežģījumus, </w:t>
      </w:r>
      <w:bookmarkStart w:id="0" w:name="_GoBack"/>
      <w:r w:rsidR="00ED1BCE">
        <w:t>paredzot patieso bērnu skaitu katrā iestādē.</w:t>
      </w:r>
    </w:p>
    <w:bookmarkEnd w:id="0"/>
    <w:p w:rsidR="009237E2" w:rsidRPr="00CC5C23" w:rsidRDefault="009237E2" w:rsidP="009237E2">
      <w:pPr>
        <w:ind w:left="720"/>
        <w:jc w:val="both"/>
        <w:rPr>
          <w:b/>
        </w:rPr>
      </w:pPr>
    </w:p>
    <w:p w:rsidR="0095509D" w:rsidRDefault="0095509D" w:rsidP="00A4577B">
      <w:pPr>
        <w:jc w:val="both"/>
      </w:pPr>
    </w:p>
    <w:p w:rsidR="0095509D" w:rsidRDefault="0095509D" w:rsidP="00A4577B">
      <w:pPr>
        <w:jc w:val="both"/>
      </w:pPr>
    </w:p>
    <w:p w:rsidR="007A4F75" w:rsidRPr="00A4577B" w:rsidRDefault="007A4F75" w:rsidP="00A4577B">
      <w:pPr>
        <w:jc w:val="both"/>
      </w:pPr>
    </w:p>
    <w:sectPr w:rsidR="007A4F75" w:rsidRPr="00A4577B" w:rsidSect="00D637AD">
      <w:pgSz w:w="11906" w:h="16838"/>
      <w:pgMar w:top="851" w:right="1133"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04" w:rsidRDefault="00691104" w:rsidP="00D637AD">
      <w:pPr>
        <w:spacing w:after="0" w:line="240" w:lineRule="auto"/>
      </w:pPr>
      <w:r>
        <w:separator/>
      </w:r>
    </w:p>
  </w:endnote>
  <w:endnote w:type="continuationSeparator" w:id="0">
    <w:p w:rsidR="00691104" w:rsidRDefault="00691104" w:rsidP="00D6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04" w:rsidRDefault="00691104" w:rsidP="00D637AD">
      <w:pPr>
        <w:spacing w:after="0" w:line="240" w:lineRule="auto"/>
      </w:pPr>
      <w:r>
        <w:separator/>
      </w:r>
    </w:p>
  </w:footnote>
  <w:footnote w:type="continuationSeparator" w:id="0">
    <w:p w:rsidR="00691104" w:rsidRDefault="00691104" w:rsidP="00D63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2B1"/>
    <w:multiLevelType w:val="hybridMultilevel"/>
    <w:tmpl w:val="79DC7DD4"/>
    <w:lvl w:ilvl="0" w:tplc="3D766AAA">
      <w:numFmt w:val="bullet"/>
      <w:lvlText w:val=""/>
      <w:lvlJc w:val="left"/>
      <w:pPr>
        <w:ind w:left="1004" w:hanging="360"/>
      </w:pPr>
      <w:rPr>
        <w:rFonts w:ascii="Symbol" w:eastAsia="Calibri" w:hAnsi="Symbol"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3E534007"/>
    <w:multiLevelType w:val="hybridMultilevel"/>
    <w:tmpl w:val="7D98922C"/>
    <w:lvl w:ilvl="0" w:tplc="007845C2">
      <w:numFmt w:val="bullet"/>
      <w:lvlText w:val=""/>
      <w:lvlJc w:val="left"/>
      <w:pPr>
        <w:ind w:left="644" w:hanging="360"/>
      </w:pPr>
      <w:rPr>
        <w:rFonts w:ascii="Symbol" w:eastAsia="Calibri"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58810303"/>
    <w:multiLevelType w:val="hybridMultilevel"/>
    <w:tmpl w:val="5744212A"/>
    <w:lvl w:ilvl="0" w:tplc="35CAE6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77B"/>
    <w:rsid w:val="00030403"/>
    <w:rsid w:val="000366DE"/>
    <w:rsid w:val="00043734"/>
    <w:rsid w:val="000A2EA5"/>
    <w:rsid w:val="000C05DB"/>
    <w:rsid w:val="00103A65"/>
    <w:rsid w:val="00215B35"/>
    <w:rsid w:val="0039438A"/>
    <w:rsid w:val="004556B7"/>
    <w:rsid w:val="00666BDD"/>
    <w:rsid w:val="006676C6"/>
    <w:rsid w:val="00691104"/>
    <w:rsid w:val="00707431"/>
    <w:rsid w:val="007A1CA6"/>
    <w:rsid w:val="007A2B4F"/>
    <w:rsid w:val="007A3292"/>
    <w:rsid w:val="007A4F75"/>
    <w:rsid w:val="0080757C"/>
    <w:rsid w:val="00825AE7"/>
    <w:rsid w:val="008370C2"/>
    <w:rsid w:val="0088082D"/>
    <w:rsid w:val="008877A6"/>
    <w:rsid w:val="008A0E48"/>
    <w:rsid w:val="00902FEF"/>
    <w:rsid w:val="009237E2"/>
    <w:rsid w:val="0095509D"/>
    <w:rsid w:val="009D7F62"/>
    <w:rsid w:val="009E56E9"/>
    <w:rsid w:val="009E7524"/>
    <w:rsid w:val="00A250FA"/>
    <w:rsid w:val="00A4577B"/>
    <w:rsid w:val="00A5015C"/>
    <w:rsid w:val="00B26206"/>
    <w:rsid w:val="00C3481E"/>
    <w:rsid w:val="00C7687E"/>
    <w:rsid w:val="00CC5C23"/>
    <w:rsid w:val="00D637AD"/>
    <w:rsid w:val="00D932F7"/>
    <w:rsid w:val="00DC276C"/>
    <w:rsid w:val="00E0101B"/>
    <w:rsid w:val="00E216EB"/>
    <w:rsid w:val="00ED1BCE"/>
    <w:rsid w:val="00EF6544"/>
    <w:rsid w:val="00F16A8F"/>
    <w:rsid w:val="00F32C50"/>
    <w:rsid w:val="00F67D44"/>
    <w:rsid w:val="00F83129"/>
    <w:rsid w:val="00F86F05"/>
    <w:rsid w:val="00FC4DD9"/>
    <w:rsid w:val="00FD03F3"/>
    <w:rsid w:val="00FF4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B4E81-02E4-47EE-B639-C775B3C3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DB"/>
    <w:pPr>
      <w:spacing w:after="160" w:line="259" w:lineRule="auto"/>
    </w:pPr>
    <w:rPr>
      <w:rFonts w:ascii="Times New Roman" w:hAnsi="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276C"/>
    <w:rPr>
      <w:rFonts w:ascii="Segoe UI" w:hAnsi="Segoe UI" w:cs="Segoe UI"/>
      <w:color w:val="000000"/>
      <w:sz w:val="18"/>
      <w:szCs w:val="18"/>
      <w:lang w:eastAsia="en-US"/>
    </w:rPr>
  </w:style>
  <w:style w:type="character" w:styleId="Hyperlink">
    <w:name w:val="Hyperlink"/>
    <w:uiPriority w:val="99"/>
    <w:unhideWhenUsed/>
    <w:rsid w:val="009237E2"/>
    <w:rPr>
      <w:color w:val="0563C1"/>
      <w:u w:val="single"/>
    </w:rPr>
  </w:style>
  <w:style w:type="table" w:styleId="TableGrid">
    <w:name w:val="Table Grid"/>
    <w:basedOn w:val="TableNormal"/>
    <w:uiPriority w:val="39"/>
    <w:rsid w:val="00036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37AD"/>
    <w:pPr>
      <w:tabs>
        <w:tab w:val="center" w:pos="4153"/>
        <w:tab w:val="right" w:pos="8306"/>
      </w:tabs>
    </w:pPr>
  </w:style>
  <w:style w:type="character" w:customStyle="1" w:styleId="HeaderChar">
    <w:name w:val="Header Char"/>
    <w:link w:val="Header"/>
    <w:uiPriority w:val="99"/>
    <w:rsid w:val="00D637AD"/>
    <w:rPr>
      <w:rFonts w:ascii="Times New Roman" w:hAnsi="Times New Roman"/>
      <w:color w:val="000000"/>
      <w:sz w:val="24"/>
      <w:szCs w:val="22"/>
      <w:lang w:eastAsia="en-US"/>
    </w:rPr>
  </w:style>
  <w:style w:type="paragraph" w:styleId="Footer">
    <w:name w:val="footer"/>
    <w:basedOn w:val="Normal"/>
    <w:link w:val="FooterChar"/>
    <w:uiPriority w:val="99"/>
    <w:unhideWhenUsed/>
    <w:rsid w:val="00D637AD"/>
    <w:pPr>
      <w:tabs>
        <w:tab w:val="center" w:pos="4153"/>
        <w:tab w:val="right" w:pos="8306"/>
      </w:tabs>
    </w:pPr>
  </w:style>
  <w:style w:type="character" w:customStyle="1" w:styleId="FooterChar">
    <w:name w:val="Footer Char"/>
    <w:link w:val="Footer"/>
    <w:uiPriority w:val="99"/>
    <w:rsid w:val="00D637AD"/>
    <w:rPr>
      <w:rFonts w:ascii="Times New Roman" w:hAnsi="Times New Roman"/>
      <w:color w:val="00000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2426</Words>
  <Characters>1383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Bogdāne</dc:creator>
  <cp:keywords/>
  <dc:description/>
  <cp:lastModifiedBy>Līga Bogdāne</cp:lastModifiedBy>
  <cp:revision>12</cp:revision>
  <cp:lastPrinted>2019-05-29T08:41:00Z</cp:lastPrinted>
  <dcterms:created xsi:type="dcterms:W3CDTF">2019-05-29T08:19:00Z</dcterms:created>
  <dcterms:modified xsi:type="dcterms:W3CDTF">2019-05-30T12:38:00Z</dcterms:modified>
</cp:coreProperties>
</file>